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«Создание высокоскоростной железнодорожной магистрали Санкт-Петербург - Москва (участок Крюково (Алабушево) - Обухово)». 7 этап – Строительство участка Высоково (вкл.) - Крюково (Алабушево) (искл.)»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br/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</w:t>
        <w:br/>
        <w:t xml:space="preserve">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1" w:tooltip="mailto:info@vsm2stl.ru" w:history="1"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info</w:t>
        </w:r>
        <w:r>
          <w:rPr>
            <w:rStyle w:val="820"/>
            <w:rFonts w:ascii="Times New Roman" w:hAnsi="Times New Roman" w:cs="Times New Roman"/>
            <w:sz w:val="28"/>
          </w:rPr>
          <w:t xml:space="preserve">@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vsm</w:t>
        </w:r>
        <w:r>
          <w:rPr>
            <w:rStyle w:val="820"/>
            <w:rFonts w:ascii="Times New Roman" w:hAnsi="Times New Roman" w:cs="Times New Roman"/>
            <w:sz w:val="28"/>
          </w:rPr>
          <w:t xml:space="preserve">2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stl</w:t>
        </w:r>
        <w:r>
          <w:rPr>
            <w:rStyle w:val="820"/>
            <w:rFonts w:ascii="Times New Roman" w:hAnsi="Times New Roman" w:cs="Times New Roman"/>
            <w:sz w:val="28"/>
          </w:rPr>
          <w:t xml:space="preserve">.</w:t>
        </w:r>
        <w:r>
          <w:rPr>
            <w:rStyle w:val="820"/>
            <w:rFonts w:ascii="Times New Roman" w:hAnsi="Times New Roman" w:cs="Times New Roman"/>
            <w:sz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http://info@gelmert.ru" w:history="1">
        <w:r>
          <w:rPr>
            <w:rStyle w:val="820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7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ев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 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50:09:0030707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Московская область, городской округ Солнечногорск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 месяца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50:09:0110302:1055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Московская область, городской округ Солнечногорск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3142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50:09:0110302:1043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Московская область, городской округ Солнечногорск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56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20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hyperlink r:id="rId15" w:tooltip="https://www.solreg.ru/" w:history="1">
              <w:r>
                <w:rPr>
                  <w:rStyle w:val="820"/>
                  <w:rFonts w:ascii="Times New Roman" w:hAnsi="Times New Roman" w:cs="Times New Roman"/>
                </w:rPr>
                <w:t xml:space="preserve">https://www.solreg.ru/</w:t>
              </w:r>
              <w:r>
                <w:rPr>
                  <w:rStyle w:val="820"/>
                  <w:rFonts w:ascii="Times New Roman" w:hAnsi="Times New Roman" w:cs="Times New Roman"/>
                </w:rPr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6" w:tooltip="https://rlw.gov.ru" w:history="1">
              <w:r>
                <w:rPr>
                  <w:rFonts w:ascii="Times New Roman" w:hAnsi="Times New Roman" w:eastAsia="SimSun" w:cs="Times New Roman"/>
                  <w:bCs/>
                  <w:color w:val="0563c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08.12.2022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ВЛ-434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(с изменениями от 20.01.2025 № АБ-8-р, от 20.06.2025 № АБ-426-р, </w:t>
              <w:br/>
              <w:t xml:space="preserve">от 18.09.2025 № АБ-1069-р, от 16.01.2026 № АБ-58-р):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Крюково (Алабушево) (искл.)»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/>
            <w:hyperlink r:id="rId17" w:tooltip="https://mosoblarh.mosreg.ru" w:history="1">
              <w:r>
                <w:rPr>
                  <w:rStyle w:val="820"/>
                  <w:rFonts w:ascii="Times New Roman" w:hAnsi="Times New Roman" w:cs="Times New Roman"/>
                </w:rPr>
                <w:t xml:space="preserve">https://mosoblarh.mosreg.ru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8" w:tooltip="https://www.solreg.ru/" w:history="1">
              <w:r>
                <w:rPr>
                  <w:rStyle w:val="820"/>
                  <w:rFonts w:ascii="Times New Roman" w:hAnsi="Times New Roman" w:eastAsia="Times New Roman" w:cs="Times New Roman"/>
                </w:rPr>
                <w:t xml:space="preserve">https://www.solreg.ru/</w:t>
              </w:r>
              <w:r>
                <w:rPr>
                  <w:rStyle w:val="820"/>
                  <w:rFonts w:ascii="Times New Roman" w:hAnsi="Times New Roman" w:eastAsia="Times New Roman" w:cs="Times New Roman"/>
                </w:rPr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которых размещены утвержденные документы территориального планирования, документация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территории, инвестиционная программа субъекта естественных монополий)</w:t>
            </w:r>
            <w:r/>
            <w:r/>
          </w:p>
        </w:tc>
      </w:tr>
      <w:tr>
        <w:tblPrEx/>
        <w:trPr>
          <w:jc w:val="center"/>
        </w:trPr>
        <w:tc>
          <w:tcPr>
            <w:gridSpan w:val="3"/>
            <w:shd w:val="clear" w:color="auto" w:fill="auto"/>
            <w:tcW w:w="9967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/>
      <w:bookmarkStart w:id="0" w:name="_GoBack"/>
      <w:r/>
      <w:bookmarkEnd w:id="0"/>
      <w:r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0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1" w:default="1">
    <w:name w:val="Normal"/>
    <w:qFormat/>
    <w:pPr>
      <w:spacing w:after="200" w:line="276" w:lineRule="auto"/>
    </w:pPr>
  </w:style>
  <w:style w:type="paragraph" w:styleId="682">
    <w:name w:val="Heading 1"/>
    <w:basedOn w:val="6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table" w:styleId="69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1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2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3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4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5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6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8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9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0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1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2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563c1" w:themeColor="hyperlink"/>
      <w:u w:val="single"/>
    </w:rPr>
  </w:style>
  <w:style w:type="character" w:styleId="821">
    <w:name w:val="footnote reference"/>
    <w:basedOn w:val="691"/>
    <w:uiPriority w:val="99"/>
    <w:unhideWhenUsed/>
    <w:rPr>
      <w:vertAlign w:val="superscript"/>
    </w:rPr>
  </w:style>
  <w:style w:type="character" w:styleId="822">
    <w:name w:val="endnote reference"/>
    <w:basedOn w:val="691"/>
    <w:uiPriority w:val="99"/>
    <w:semiHidden/>
    <w:unhideWhenUsed/>
    <w:rPr>
      <w:vertAlign w:val="superscript"/>
    </w:rPr>
  </w:style>
  <w:style w:type="character" w:styleId="82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2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2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2" w:customStyle="1">
    <w:name w:val="Title Char"/>
    <w:uiPriority w:val="10"/>
    <w:qFormat/>
    <w:rPr>
      <w:sz w:val="48"/>
      <w:szCs w:val="48"/>
    </w:rPr>
  </w:style>
  <w:style w:type="character" w:styleId="833" w:customStyle="1">
    <w:name w:val="Subtitle Char"/>
    <w:uiPriority w:val="11"/>
    <w:qFormat/>
    <w:rPr>
      <w:sz w:val="24"/>
      <w:szCs w:val="24"/>
    </w:rPr>
  </w:style>
  <w:style w:type="character" w:styleId="834" w:customStyle="1">
    <w:name w:val="Quote Char"/>
    <w:uiPriority w:val="29"/>
    <w:qFormat/>
    <w:rPr>
      <w:i/>
    </w:rPr>
  </w:style>
  <w:style w:type="character" w:styleId="835" w:customStyle="1">
    <w:name w:val="Intense Quote Char"/>
    <w:uiPriority w:val="30"/>
    <w:qFormat/>
    <w:rPr>
      <w:i/>
    </w:rPr>
  </w:style>
  <w:style w:type="character" w:styleId="836" w:customStyle="1">
    <w:name w:val="Header Char"/>
    <w:uiPriority w:val="99"/>
    <w:qFormat/>
  </w:style>
  <w:style w:type="character" w:styleId="837" w:customStyle="1">
    <w:name w:val="Footer Char"/>
    <w:uiPriority w:val="99"/>
    <w:qFormat/>
  </w:style>
  <w:style w:type="character" w:styleId="838" w:customStyle="1">
    <w:name w:val="Caption Char"/>
    <w:uiPriority w:val="99"/>
    <w:qFormat/>
  </w:style>
  <w:style w:type="character" w:styleId="83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40" w:customStyle="1">
    <w:name w:val="Footnote Text Char"/>
    <w:uiPriority w:val="99"/>
    <w:qFormat/>
    <w:rPr>
      <w:sz w:val="18"/>
    </w:rPr>
  </w:style>
  <w:style w:type="character" w:styleId="841" w:customStyle="1">
    <w:name w:val="Привязка сноски"/>
    <w:rPr>
      <w:vertAlign w:val="superscript"/>
    </w:rPr>
  </w:style>
  <w:style w:type="character" w:styleId="842" w:customStyle="1">
    <w:name w:val="Footnote Characters"/>
    <w:uiPriority w:val="99"/>
    <w:unhideWhenUsed/>
    <w:qFormat/>
    <w:rPr>
      <w:vertAlign w:val="superscript"/>
    </w:rPr>
  </w:style>
  <w:style w:type="character" w:styleId="843" w:customStyle="1">
    <w:name w:val="Endnote Text Char"/>
    <w:uiPriority w:val="99"/>
    <w:qFormat/>
    <w:rPr>
      <w:sz w:val="20"/>
    </w:rPr>
  </w:style>
  <w:style w:type="character" w:styleId="844" w:customStyle="1">
    <w:name w:val="Привязка концевой сноски"/>
    <w:rPr>
      <w:vertAlign w:val="superscript"/>
    </w:rPr>
  </w:style>
  <w:style w:type="character" w:styleId="845" w:customStyle="1">
    <w:name w:val="Endnote Characters"/>
    <w:uiPriority w:val="99"/>
    <w:semiHidden/>
    <w:unhideWhenUsed/>
    <w:qFormat/>
    <w:rPr>
      <w:vertAlign w:val="superscript"/>
    </w:rPr>
  </w:style>
  <w:style w:type="paragraph" w:styleId="846" w:customStyle="1">
    <w:name w:val="Заголовок1"/>
    <w:basedOn w:val="681"/>
    <w:next w:val="84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7">
    <w:name w:val="Body Text"/>
    <w:basedOn w:val="681"/>
    <w:pPr>
      <w:spacing w:after="140"/>
    </w:pPr>
  </w:style>
  <w:style w:type="paragraph" w:styleId="848">
    <w:name w:val="List"/>
    <w:basedOn w:val="847"/>
    <w:rPr>
      <w:rFonts w:ascii="PT Astra Serif" w:hAnsi="PT Astra Serif" w:cs="Noto Sans Devanagari"/>
    </w:rPr>
  </w:style>
  <w:style w:type="paragraph" w:styleId="849">
    <w:name w:val="Caption"/>
    <w:basedOn w:val="68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50">
    <w:name w:val="index heading"/>
    <w:basedOn w:val="681"/>
    <w:qFormat/>
    <w:pPr>
      <w:suppressLineNumbers/>
    </w:pPr>
    <w:rPr>
      <w:rFonts w:ascii="PT Astra Serif" w:hAnsi="PT Astra Serif" w:cs="Noto Sans Devanagari"/>
    </w:rPr>
  </w:style>
  <w:style w:type="paragraph" w:styleId="851">
    <w:name w:val="Title"/>
    <w:basedOn w:val="681"/>
    <w:uiPriority w:val="10"/>
    <w:qFormat/>
    <w:pPr>
      <w:contextualSpacing/>
      <w:spacing w:before="300"/>
    </w:pPr>
    <w:rPr>
      <w:sz w:val="48"/>
      <w:szCs w:val="48"/>
    </w:rPr>
  </w:style>
  <w:style w:type="paragraph" w:styleId="852">
    <w:name w:val="Subtitle"/>
    <w:basedOn w:val="681"/>
    <w:uiPriority w:val="11"/>
    <w:qFormat/>
    <w:pPr>
      <w:spacing w:before="200"/>
    </w:pPr>
    <w:rPr>
      <w:sz w:val="24"/>
      <w:szCs w:val="24"/>
    </w:rPr>
  </w:style>
  <w:style w:type="paragraph" w:styleId="853">
    <w:name w:val="Quote"/>
    <w:basedOn w:val="681"/>
    <w:uiPriority w:val="29"/>
    <w:qFormat/>
    <w:pPr>
      <w:ind w:left="720" w:right="720"/>
    </w:pPr>
    <w:rPr>
      <w:i/>
    </w:rPr>
  </w:style>
  <w:style w:type="paragraph" w:styleId="854">
    <w:name w:val="Intense Quote"/>
    <w:basedOn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5" w:customStyle="1">
    <w:name w:val="Верхний и нижний колонтитулы"/>
    <w:basedOn w:val="681"/>
    <w:qFormat/>
  </w:style>
  <w:style w:type="paragraph" w:styleId="856">
    <w:name w:val="Header"/>
    <w:basedOn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57">
    <w:name w:val="Footer"/>
    <w:basedOn w:val="681"/>
    <w:link w:val="873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58">
    <w:name w:val="footnote text"/>
    <w:basedOn w:val="681"/>
    <w:uiPriority w:val="99"/>
    <w:semiHidden/>
    <w:unhideWhenUsed/>
    <w:pPr>
      <w:spacing w:after="40" w:line="240" w:lineRule="auto"/>
    </w:pPr>
    <w:rPr>
      <w:sz w:val="18"/>
    </w:rPr>
  </w:style>
  <w:style w:type="paragraph" w:styleId="859">
    <w:name w:val="endnote text"/>
    <w:basedOn w:val="681"/>
    <w:uiPriority w:val="99"/>
    <w:semiHidden/>
    <w:unhideWhenUsed/>
    <w:pPr>
      <w:spacing w:after="0" w:line="240" w:lineRule="auto"/>
    </w:pPr>
    <w:rPr>
      <w:sz w:val="20"/>
    </w:rPr>
  </w:style>
  <w:style w:type="paragraph" w:styleId="860">
    <w:name w:val="toc 1"/>
    <w:basedOn w:val="681"/>
    <w:uiPriority w:val="39"/>
    <w:unhideWhenUsed/>
    <w:pPr>
      <w:spacing w:after="57"/>
    </w:pPr>
  </w:style>
  <w:style w:type="paragraph" w:styleId="861">
    <w:name w:val="toc 2"/>
    <w:basedOn w:val="681"/>
    <w:uiPriority w:val="39"/>
    <w:unhideWhenUsed/>
    <w:pPr>
      <w:ind w:left="283"/>
      <w:spacing w:after="57"/>
    </w:pPr>
  </w:style>
  <w:style w:type="paragraph" w:styleId="862">
    <w:name w:val="toc 3"/>
    <w:basedOn w:val="681"/>
    <w:uiPriority w:val="39"/>
    <w:unhideWhenUsed/>
    <w:pPr>
      <w:ind w:left="567"/>
      <w:spacing w:after="57"/>
    </w:pPr>
  </w:style>
  <w:style w:type="paragraph" w:styleId="863">
    <w:name w:val="toc 4"/>
    <w:basedOn w:val="681"/>
    <w:uiPriority w:val="39"/>
    <w:unhideWhenUsed/>
    <w:pPr>
      <w:ind w:left="850"/>
      <w:spacing w:after="57"/>
    </w:pPr>
  </w:style>
  <w:style w:type="paragraph" w:styleId="864">
    <w:name w:val="toc 5"/>
    <w:basedOn w:val="681"/>
    <w:uiPriority w:val="39"/>
    <w:unhideWhenUsed/>
    <w:pPr>
      <w:ind w:left="1134"/>
      <w:spacing w:after="57"/>
    </w:pPr>
  </w:style>
  <w:style w:type="paragraph" w:styleId="865">
    <w:name w:val="toc 6"/>
    <w:basedOn w:val="681"/>
    <w:uiPriority w:val="39"/>
    <w:unhideWhenUsed/>
    <w:pPr>
      <w:ind w:left="1417"/>
      <w:spacing w:after="57"/>
    </w:pPr>
  </w:style>
  <w:style w:type="paragraph" w:styleId="866">
    <w:name w:val="toc 7"/>
    <w:basedOn w:val="681"/>
    <w:uiPriority w:val="39"/>
    <w:unhideWhenUsed/>
    <w:pPr>
      <w:ind w:left="1701"/>
      <w:spacing w:after="57"/>
    </w:pPr>
  </w:style>
  <w:style w:type="paragraph" w:styleId="867">
    <w:name w:val="toc 8"/>
    <w:basedOn w:val="681"/>
    <w:uiPriority w:val="39"/>
    <w:unhideWhenUsed/>
    <w:pPr>
      <w:ind w:left="1984"/>
      <w:spacing w:after="57"/>
    </w:pPr>
  </w:style>
  <w:style w:type="paragraph" w:styleId="868">
    <w:name w:val="toc 9"/>
    <w:basedOn w:val="681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  <w:qFormat/>
    <w:pPr>
      <w:spacing w:after="200" w:line="276" w:lineRule="auto"/>
    </w:pPr>
  </w:style>
  <w:style w:type="paragraph" w:styleId="870">
    <w:name w:val="table of figures"/>
    <w:basedOn w:val="681"/>
    <w:uiPriority w:val="99"/>
    <w:unhideWhenUsed/>
    <w:qFormat/>
    <w:pPr>
      <w:spacing w:after="0"/>
    </w:pPr>
  </w:style>
  <w:style w:type="paragraph" w:styleId="871">
    <w:name w:val="No Spacing"/>
    <w:basedOn w:val="681"/>
    <w:uiPriority w:val="1"/>
    <w:qFormat/>
    <w:pPr>
      <w:spacing w:after="0" w:line="240" w:lineRule="auto"/>
    </w:pPr>
  </w:style>
  <w:style w:type="paragraph" w:styleId="872">
    <w:name w:val="List Paragraph"/>
    <w:basedOn w:val="681"/>
    <w:uiPriority w:val="34"/>
    <w:qFormat/>
    <w:pPr>
      <w:contextualSpacing/>
      <w:ind w:left="720"/>
    </w:pPr>
  </w:style>
  <w:style w:type="character" w:styleId="873" w:customStyle="1">
    <w:name w:val="Нижний колонтитул Знак"/>
    <w:basedOn w:val="691"/>
    <w:link w:val="857"/>
  </w:style>
  <w:style w:type="paragraph" w:styleId="874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75" w:customStyle="1">
    <w:name w:val="fontstyle01"/>
    <w:basedOn w:val="691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s://www.solreg.ru/" TargetMode="External"/><Relationship Id="rId16" Type="http://schemas.openxmlformats.org/officeDocument/2006/relationships/hyperlink" Target="https://rlw.gov.ru" TargetMode="External"/><Relationship Id="rId17" Type="http://schemas.openxmlformats.org/officeDocument/2006/relationships/hyperlink" Target="https://mosoblarh.mosreg.ru" TargetMode="External"/><Relationship Id="rId18" Type="http://schemas.openxmlformats.org/officeDocument/2006/relationships/hyperlink" Target="https://www.solre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273</cp:revision>
  <dcterms:created xsi:type="dcterms:W3CDTF">2022-06-21T09:18:00Z</dcterms:created>
  <dcterms:modified xsi:type="dcterms:W3CDTF">2026-03-06T08:07:38Z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